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56764" w14:textId="4092F75D" w:rsidR="00294BFE" w:rsidRPr="00080C23" w:rsidRDefault="00EE7D76">
      <w:pPr>
        <w:rPr>
          <w:rFonts w:ascii="Times" w:hAnsi="Times"/>
          <w:sz w:val="20"/>
          <w:szCs w:val="20"/>
        </w:rPr>
      </w:pPr>
      <w:r>
        <w:rPr>
          <w:rFonts w:ascii="Times" w:hAnsi="Times"/>
          <w:bCs/>
          <w:sz w:val="20"/>
          <w:szCs w:val="20"/>
        </w:rPr>
        <w:t>Additional file</w:t>
      </w:r>
      <w:r w:rsidRPr="00BA2DD5">
        <w:rPr>
          <w:rFonts w:ascii="Times" w:hAnsi="Times"/>
          <w:bCs/>
          <w:sz w:val="20"/>
          <w:szCs w:val="20"/>
        </w:rPr>
        <w:t xml:space="preserve"> </w:t>
      </w:r>
      <w:bookmarkStart w:id="0" w:name="_GoBack"/>
      <w:bookmarkEnd w:id="0"/>
      <w:r w:rsidR="00D41C14">
        <w:rPr>
          <w:rFonts w:ascii="Times" w:hAnsi="Times"/>
          <w:sz w:val="20"/>
          <w:szCs w:val="20"/>
        </w:rPr>
        <w:t>2</w:t>
      </w:r>
      <w:r w:rsidR="00CC6B3C" w:rsidRPr="00080C23">
        <w:rPr>
          <w:rFonts w:ascii="Times" w:hAnsi="Times"/>
          <w:sz w:val="20"/>
          <w:szCs w:val="20"/>
        </w:rPr>
        <w:t xml:space="preserve"> – List of data extracted from studies</w:t>
      </w:r>
    </w:p>
    <w:p w14:paraId="22EBDE10" w14:textId="4DB2DA30" w:rsidR="00CC6B3C" w:rsidRPr="00080C23" w:rsidRDefault="00CC6B3C">
      <w:pPr>
        <w:rPr>
          <w:rFonts w:ascii="Times" w:hAnsi="Times"/>
          <w:sz w:val="20"/>
          <w:szCs w:val="20"/>
        </w:rPr>
      </w:pPr>
    </w:p>
    <w:p w14:paraId="61693D20" w14:textId="067003C3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Author</w:t>
      </w:r>
    </w:p>
    <w:p w14:paraId="124D01D2" w14:textId="0728545F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Year</w:t>
      </w:r>
    </w:p>
    <w:p w14:paraId="31396437" w14:textId="3D7E8060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Title</w:t>
      </w:r>
    </w:p>
    <w:p w14:paraId="390FC96A" w14:textId="56C07225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Total patients</w:t>
      </w:r>
    </w:p>
    <w:p w14:paraId="2FE7DE58" w14:textId="77AD12F2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SBT type</w:t>
      </w:r>
    </w:p>
    <w:p w14:paraId="45BCC55A" w14:textId="3F97B016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Duration of SBT</w:t>
      </w:r>
    </w:p>
    <w:p w14:paraId="394B162B" w14:textId="78FAE7DA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Time between BNP measures</w:t>
      </w:r>
    </w:p>
    <w:p w14:paraId="4C9D92E0" w14:textId="5C6F8388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Method of BNP analysis for SBT failure group</w:t>
      </w:r>
    </w:p>
    <w:p w14:paraId="3D15EBF2" w14:textId="5EDDE3BF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Number of patients in SBT failure group</w:t>
      </w:r>
    </w:p>
    <w:p w14:paraId="0176F2DA" w14:textId="57EAAFB3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Number of patients extubated</w:t>
      </w:r>
    </w:p>
    <w:p w14:paraId="564F11AC" w14:textId="5D889957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Number of patients in liberation failure group</w:t>
      </w:r>
    </w:p>
    <w:p w14:paraId="0F52F514" w14:textId="655AB2F8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Number of patients in liberation success group</w:t>
      </w:r>
    </w:p>
    <w:p w14:paraId="1DB60B75" w14:textId="2223228B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Age</w:t>
      </w:r>
    </w:p>
    <w:p w14:paraId="38F0E5B8" w14:textId="6390B533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Sex</w:t>
      </w:r>
    </w:p>
    <w:p w14:paraId="41844EF4" w14:textId="4313E21F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Height</w:t>
      </w:r>
    </w:p>
    <w:p w14:paraId="6CD6A47D" w14:textId="44139DC8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Weight</w:t>
      </w:r>
    </w:p>
    <w:p w14:paraId="3F98CE62" w14:textId="1AEB748F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Fluid balance</w:t>
      </w:r>
    </w:p>
    <w:p w14:paraId="6E8715D8" w14:textId="78762262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Ejection fraction (EF)</w:t>
      </w:r>
    </w:p>
    <w:p w14:paraId="671209F4" w14:textId="615E23C3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Creatinine</w:t>
      </w:r>
    </w:p>
    <w:p w14:paraId="738EE7DF" w14:textId="49BF6A34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Hemoglobin</w:t>
      </w:r>
    </w:p>
    <w:p w14:paraId="4F5A224F" w14:textId="6504F208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Albumin</w:t>
      </w:r>
    </w:p>
    <w:p w14:paraId="09C605CF" w14:textId="0FAEBC97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Disease severity score</w:t>
      </w:r>
    </w:p>
    <w:p w14:paraId="3D8594CB" w14:textId="0DFBD07E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Duration of mechanical ventilation</w:t>
      </w:r>
    </w:p>
    <w:p w14:paraId="107A20D5" w14:textId="3A441128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Respiratory rate</w:t>
      </w:r>
    </w:p>
    <w:p w14:paraId="60530D29" w14:textId="2F5BAFE2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Tidal Volume</w:t>
      </w:r>
    </w:p>
    <w:p w14:paraId="6B773403" w14:textId="1C6849E9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Minute ventilation</w:t>
      </w:r>
    </w:p>
    <w:p w14:paraId="67E83E2B" w14:textId="46503C67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pH</w:t>
      </w:r>
    </w:p>
    <w:p w14:paraId="0F2A2838" w14:textId="10DD1A4F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PaO2</w:t>
      </w:r>
    </w:p>
    <w:p w14:paraId="0D470CAA" w14:textId="3D7D9AE6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PaCO2</w:t>
      </w:r>
    </w:p>
    <w:p w14:paraId="16AC486B" w14:textId="4760E694" w:rsidR="00CC6B3C" w:rsidRPr="00080C23" w:rsidRDefault="00CC6B3C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PaO2/FiO2</w:t>
      </w:r>
    </w:p>
    <w:p w14:paraId="6B7AA57D" w14:textId="1957E4A3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Number of patients receiving non-invasive ventilation post-</w:t>
      </w:r>
      <w:proofErr w:type="spellStart"/>
      <w:r w:rsidRPr="00080C23">
        <w:rPr>
          <w:rFonts w:ascii="Times" w:hAnsi="Times"/>
          <w:sz w:val="20"/>
          <w:szCs w:val="20"/>
        </w:rPr>
        <w:t>extubation</w:t>
      </w:r>
      <w:proofErr w:type="spellEnd"/>
    </w:p>
    <w:p w14:paraId="5BEAF404" w14:textId="430E071A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BNP type</w:t>
      </w:r>
    </w:p>
    <w:p w14:paraId="0C33409F" w14:textId="132153ED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 xml:space="preserve">BNP measure (BNP-Pre, BNP-post, </w:t>
      </w:r>
      <w:proofErr w:type="spellStart"/>
      <w:r w:rsidRPr="00080C23">
        <w:rPr>
          <w:rFonts w:ascii="Times" w:hAnsi="Times"/>
          <w:sz w:val="20"/>
          <w:szCs w:val="20"/>
        </w:rPr>
        <w:t>DeltaBNP</w:t>
      </w:r>
      <w:proofErr w:type="spellEnd"/>
      <w:r w:rsidRPr="00080C23">
        <w:rPr>
          <w:rFonts w:ascii="Times" w:hAnsi="Times"/>
          <w:sz w:val="20"/>
          <w:szCs w:val="20"/>
        </w:rPr>
        <w:t xml:space="preserve">, </w:t>
      </w:r>
      <w:proofErr w:type="spellStart"/>
      <w:r w:rsidRPr="00080C23">
        <w:rPr>
          <w:rFonts w:ascii="Times" w:hAnsi="Times"/>
          <w:sz w:val="20"/>
          <w:szCs w:val="20"/>
        </w:rPr>
        <w:t>DeltaBNP</w:t>
      </w:r>
      <w:proofErr w:type="spellEnd"/>
      <w:r w:rsidRPr="00080C23">
        <w:rPr>
          <w:rFonts w:ascii="Times" w:hAnsi="Times"/>
          <w:sz w:val="20"/>
          <w:szCs w:val="20"/>
        </w:rPr>
        <w:t>%)</w:t>
      </w:r>
    </w:p>
    <w:p w14:paraId="009D6A7E" w14:textId="7168D76E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Positive likelihood ratio (LR+)</w:t>
      </w:r>
      <w:r w:rsidRPr="00080C23">
        <w:rPr>
          <w:rFonts w:ascii="Times" w:hAnsi="Times"/>
          <w:sz w:val="20"/>
          <w:szCs w:val="20"/>
        </w:rPr>
        <w:br/>
        <w:t>Negative likelihood ratio (LR-)</w:t>
      </w:r>
    </w:p>
    <w:p w14:paraId="5E1D9091" w14:textId="03C24539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Sensitivity</w:t>
      </w:r>
    </w:p>
    <w:p w14:paraId="4EE64AC3" w14:textId="751E42DF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Specificity</w:t>
      </w:r>
    </w:p>
    <w:p w14:paraId="24F84F4D" w14:textId="18A82EDB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Positive predictive value (PPV)</w:t>
      </w:r>
    </w:p>
    <w:p w14:paraId="071A3F4F" w14:textId="266A4171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Negative predictive value (NPV)</w:t>
      </w:r>
    </w:p>
    <w:p w14:paraId="555D54E1" w14:textId="01685CDB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Accuracy</w:t>
      </w:r>
    </w:p>
    <w:p w14:paraId="1BBEEB7E" w14:textId="2D3EAC2F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Area under curve (AUROC)</w:t>
      </w:r>
    </w:p>
    <w:p w14:paraId="5860566C" w14:textId="0F9AEF27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Best threshold determined</w:t>
      </w:r>
    </w:p>
    <w:p w14:paraId="45D55F9E" w14:textId="12175DFE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Odds ratio</w:t>
      </w:r>
    </w:p>
    <w:p w14:paraId="257DA388" w14:textId="4FE9F598" w:rsidR="00080C23" w:rsidRPr="00080C23" w:rsidRDefault="00080C23">
      <w:pPr>
        <w:rPr>
          <w:rFonts w:ascii="Times" w:hAnsi="Times"/>
          <w:sz w:val="20"/>
          <w:szCs w:val="20"/>
        </w:rPr>
      </w:pPr>
      <w:r w:rsidRPr="00080C23">
        <w:rPr>
          <w:rFonts w:ascii="Times" w:hAnsi="Times"/>
          <w:sz w:val="20"/>
          <w:szCs w:val="20"/>
        </w:rPr>
        <w:t>Confidence interval</w:t>
      </w:r>
    </w:p>
    <w:p w14:paraId="4C264840" w14:textId="77777777" w:rsidR="00CC6B3C" w:rsidRPr="00080C23" w:rsidRDefault="00CC6B3C">
      <w:pPr>
        <w:rPr>
          <w:rFonts w:ascii="Times" w:hAnsi="Times"/>
          <w:sz w:val="20"/>
          <w:szCs w:val="20"/>
        </w:rPr>
      </w:pPr>
    </w:p>
    <w:sectPr w:rsidR="00CC6B3C" w:rsidRPr="00080C23" w:rsidSect="007042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B3C"/>
    <w:rsid w:val="0003691E"/>
    <w:rsid w:val="000725B6"/>
    <w:rsid w:val="00080C23"/>
    <w:rsid w:val="0008612F"/>
    <w:rsid w:val="0009237C"/>
    <w:rsid w:val="000F489F"/>
    <w:rsid w:val="001234B7"/>
    <w:rsid w:val="00183DCD"/>
    <w:rsid w:val="00387375"/>
    <w:rsid w:val="00400D53"/>
    <w:rsid w:val="00432969"/>
    <w:rsid w:val="004D0732"/>
    <w:rsid w:val="0051667A"/>
    <w:rsid w:val="005467DD"/>
    <w:rsid w:val="00555B7F"/>
    <w:rsid w:val="005E19F8"/>
    <w:rsid w:val="0070421E"/>
    <w:rsid w:val="00761161"/>
    <w:rsid w:val="007A4A53"/>
    <w:rsid w:val="007E6C59"/>
    <w:rsid w:val="007F3725"/>
    <w:rsid w:val="00835B2A"/>
    <w:rsid w:val="00875F42"/>
    <w:rsid w:val="008C6187"/>
    <w:rsid w:val="009568E9"/>
    <w:rsid w:val="00A41AE8"/>
    <w:rsid w:val="00B70F85"/>
    <w:rsid w:val="00C0062B"/>
    <w:rsid w:val="00C73B1D"/>
    <w:rsid w:val="00CC3651"/>
    <w:rsid w:val="00CC4FCA"/>
    <w:rsid w:val="00CC6B3C"/>
    <w:rsid w:val="00CE55DF"/>
    <w:rsid w:val="00D41C14"/>
    <w:rsid w:val="00DC2203"/>
    <w:rsid w:val="00E5504E"/>
    <w:rsid w:val="00EE7D76"/>
    <w:rsid w:val="00F26962"/>
    <w:rsid w:val="00F30B03"/>
    <w:rsid w:val="00F62B6F"/>
    <w:rsid w:val="00F93B80"/>
    <w:rsid w:val="00FE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F2E67F"/>
  <w15:chartTrackingRefBased/>
  <w15:docId w15:val="{46426118-4B33-FD4B-BE3C-4877EF477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9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9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9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nuscriptTitle">
    <w:name w:val="Manuscript_Title"/>
    <w:basedOn w:val="Title"/>
    <w:next w:val="Normal"/>
    <w:autoRedefine/>
    <w:qFormat/>
    <w:rsid w:val="00432969"/>
    <w:pPr>
      <w:jc w:val="both"/>
    </w:pPr>
    <w:rPr>
      <w:rFonts w:ascii="Times" w:hAnsi="Times"/>
      <w:sz w:val="36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3296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Manuscriptbody">
    <w:name w:val="Manuscript_body"/>
    <w:basedOn w:val="Normal"/>
    <w:link w:val="ManuscriptbodyChar"/>
    <w:autoRedefine/>
    <w:qFormat/>
    <w:rsid w:val="00432969"/>
    <w:pPr>
      <w:jc w:val="both"/>
    </w:pPr>
    <w:rPr>
      <w:rFonts w:ascii="Times" w:hAnsi="Times" w:cstheme="minorHAnsi"/>
      <w:sz w:val="20"/>
      <w:szCs w:val="20"/>
    </w:rPr>
  </w:style>
  <w:style w:type="paragraph" w:customStyle="1" w:styleId="ManuscriptHeading1">
    <w:name w:val="Manuscript_Heading1"/>
    <w:basedOn w:val="Heading1"/>
    <w:next w:val="Manuscriptbody"/>
    <w:link w:val="ManuscriptHeading1Char"/>
    <w:autoRedefine/>
    <w:qFormat/>
    <w:rsid w:val="00432969"/>
    <w:pPr>
      <w:jc w:val="both"/>
    </w:pPr>
    <w:rPr>
      <w:rFonts w:ascii="Times" w:hAnsi="Times" w:cstheme="minorHAnsi"/>
      <w:b/>
      <w:sz w:val="28"/>
      <w:szCs w:val="20"/>
    </w:rPr>
  </w:style>
  <w:style w:type="character" w:customStyle="1" w:styleId="ManuscriptHeading1Char">
    <w:name w:val="Manuscript_Heading1 Char"/>
    <w:basedOn w:val="Heading1Char"/>
    <w:link w:val="ManuscriptHeading1"/>
    <w:rsid w:val="00432969"/>
    <w:rPr>
      <w:rFonts w:ascii="Times" w:eastAsiaTheme="majorEastAsia" w:hAnsi="Times" w:cstheme="minorHAnsi"/>
      <w:b/>
      <w:color w:val="2F5496" w:themeColor="accent1" w:themeShade="BF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32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anuscriptHeading2">
    <w:name w:val="Manuscript_Heading2"/>
    <w:basedOn w:val="Heading2"/>
    <w:link w:val="ManuscriptHeading2Char"/>
    <w:autoRedefine/>
    <w:qFormat/>
    <w:rsid w:val="00432969"/>
    <w:pPr>
      <w:jc w:val="both"/>
    </w:pPr>
    <w:rPr>
      <w:rFonts w:ascii="Times" w:hAnsi="Times" w:cstheme="minorHAnsi"/>
      <w:b/>
      <w:sz w:val="24"/>
      <w:szCs w:val="20"/>
    </w:rPr>
  </w:style>
  <w:style w:type="character" w:customStyle="1" w:styleId="ManuscriptHeading2Char">
    <w:name w:val="Manuscript_Heading2 Char"/>
    <w:basedOn w:val="Heading2Char"/>
    <w:link w:val="ManuscriptHeading2"/>
    <w:rsid w:val="00432969"/>
    <w:rPr>
      <w:rFonts w:ascii="Times" w:eastAsiaTheme="majorEastAsia" w:hAnsi="Times" w:cstheme="minorHAnsi"/>
      <w:b/>
      <w:color w:val="2F5496" w:themeColor="accent1" w:themeShade="BF"/>
      <w:sz w:val="2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96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anuscriptHeading3">
    <w:name w:val="Manuscript_Heading3"/>
    <w:basedOn w:val="Heading3"/>
    <w:next w:val="Manuscriptbody"/>
    <w:link w:val="ManuscriptHeading3Char"/>
    <w:autoRedefine/>
    <w:qFormat/>
    <w:rsid w:val="00432969"/>
    <w:pPr>
      <w:jc w:val="both"/>
    </w:pPr>
    <w:rPr>
      <w:rFonts w:ascii="Times" w:hAnsi="Times"/>
      <w:b/>
      <w:sz w:val="20"/>
      <w:szCs w:val="20"/>
    </w:rPr>
  </w:style>
  <w:style w:type="character" w:customStyle="1" w:styleId="ManuscriptHeading3Char">
    <w:name w:val="Manuscript_Heading3 Char"/>
    <w:basedOn w:val="Heading3Char"/>
    <w:link w:val="ManuscriptHeading3"/>
    <w:rsid w:val="00432969"/>
    <w:rPr>
      <w:rFonts w:ascii="Times" w:eastAsiaTheme="majorEastAsia" w:hAnsi="Times" w:cstheme="majorBidi"/>
      <w:b/>
      <w:color w:val="1F3763" w:themeColor="accent1" w:themeShade="7F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96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ManuscriptbodyChar">
    <w:name w:val="Manuscript_body Char"/>
    <w:basedOn w:val="DefaultParagraphFont"/>
    <w:link w:val="Manuscriptbody"/>
    <w:rsid w:val="00432969"/>
    <w:rPr>
      <w:rFonts w:ascii="Times" w:hAnsi="Times" w:cstheme="minorHAnsi"/>
      <w:sz w:val="20"/>
      <w:szCs w:val="20"/>
    </w:rPr>
  </w:style>
  <w:style w:type="paragraph" w:customStyle="1" w:styleId="Manuscriptheadingnotes">
    <w:name w:val="Manuscript_heading_notes"/>
    <w:basedOn w:val="Normal"/>
    <w:link w:val="ManuscriptheadingnotesChar"/>
    <w:autoRedefine/>
    <w:qFormat/>
    <w:rsid w:val="00432969"/>
    <w:pPr>
      <w:suppressLineNumbers/>
      <w:jc w:val="both"/>
    </w:pPr>
    <w:rPr>
      <w:rFonts w:ascii="Times" w:hAnsi="Times"/>
      <w:b/>
      <w:sz w:val="16"/>
      <w:szCs w:val="20"/>
      <w:vertAlign w:val="superscript"/>
    </w:rPr>
  </w:style>
  <w:style w:type="character" w:customStyle="1" w:styleId="ManuscriptheadingnotesChar">
    <w:name w:val="Manuscript_heading_notes Char"/>
    <w:basedOn w:val="DefaultParagraphFont"/>
    <w:link w:val="Manuscriptheadingnotes"/>
    <w:rsid w:val="00432969"/>
    <w:rPr>
      <w:rFonts w:ascii="Times" w:hAnsi="Times"/>
      <w:b/>
      <w:sz w:val="16"/>
      <w:szCs w:val="20"/>
      <w:vertAlign w:val="superscript"/>
    </w:rPr>
  </w:style>
  <w:style w:type="paragraph" w:customStyle="1" w:styleId="Manuscriptbodynotes">
    <w:name w:val="Manuscript_body_notes"/>
    <w:basedOn w:val="Manuscriptheadingnotes"/>
    <w:autoRedefine/>
    <w:qFormat/>
    <w:rsid w:val="00432969"/>
    <w:rPr>
      <w:b w:val="0"/>
      <w:sz w:val="18"/>
      <w:lang w:val="en-US"/>
    </w:rPr>
  </w:style>
  <w:style w:type="paragraph" w:customStyle="1" w:styleId="Manuscriptreferences">
    <w:name w:val="Manuscript_references"/>
    <w:basedOn w:val="Manuscriptheadingnotes"/>
    <w:autoRedefine/>
    <w:qFormat/>
    <w:rsid w:val="00432969"/>
    <w:pPr>
      <w:widowControl w:val="0"/>
      <w:tabs>
        <w:tab w:val="left" w:pos="640"/>
      </w:tabs>
      <w:autoSpaceDE w:val="0"/>
      <w:autoSpaceDN w:val="0"/>
      <w:adjustRightInd w:val="0"/>
      <w:spacing w:after="240"/>
      <w:ind w:left="640" w:hanging="640"/>
      <w:jc w:val="left"/>
    </w:pPr>
    <w:rPr>
      <w:b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15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Deschamps</dc:creator>
  <cp:keywords/>
  <dc:description/>
  <cp:lastModifiedBy>Jean Deschamps</cp:lastModifiedBy>
  <cp:revision>4</cp:revision>
  <dcterms:created xsi:type="dcterms:W3CDTF">2019-11-24T05:09:00Z</dcterms:created>
  <dcterms:modified xsi:type="dcterms:W3CDTF">2019-12-15T00:05:00Z</dcterms:modified>
</cp:coreProperties>
</file>